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6CF" w:rsidRPr="00AF09F2" w:rsidRDefault="001246CF" w:rsidP="0E396A63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:rsidR="001246CF" w:rsidRPr="00AF09F2" w:rsidRDefault="000469C5" w:rsidP="001246CF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6"/>
          <w:lang w:eastAsia="en-GB"/>
        </w:rPr>
        <w:t>Mathematics</w:t>
      </w:r>
      <w:r w:rsidR="00ED3B28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:</w:t>
      </w:r>
      <w:r w:rsidR="001246CF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 xml:space="preserve"> Year </w:t>
      </w:r>
      <w:r w:rsidR="00467BE9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11 Mock 1 202</w:t>
      </w:r>
      <w:r w:rsidR="00B24D9F">
        <w:rPr>
          <w:rFonts w:asciiTheme="minorHAnsi" w:eastAsia="Times New Roman" w:hAnsiTheme="minorHAnsi" w:cstheme="minorHAnsi"/>
          <w:b/>
          <w:bCs/>
          <w:sz w:val="26"/>
          <w:lang w:eastAsia="en-GB"/>
        </w:rPr>
        <w:t>4</w:t>
      </w:r>
    </w:p>
    <w:p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</w:p>
    <w:p w:rsidR="000469C5" w:rsidRDefault="000469C5" w:rsidP="000469C5">
      <w:pPr>
        <w:rPr>
          <w:rFonts w:ascii="Gill Sans MT" w:hAnsi="Gill Sans MT"/>
          <w:b/>
          <w:bCs/>
        </w:rPr>
      </w:pPr>
      <w:r w:rsidRPr="51A34310">
        <w:rPr>
          <w:rFonts w:ascii="Gill Sans MT" w:hAnsi="Gill Sans MT"/>
          <w:b/>
          <w:bCs/>
        </w:rPr>
        <w:t>GCSE Exam Structure</w:t>
      </w:r>
    </w:p>
    <w:p w:rsidR="000469C5" w:rsidRDefault="000469C5" w:rsidP="51A34310">
      <w:pPr>
        <w:rPr>
          <w:rFonts w:ascii="Gill Sans MT" w:hAnsi="Gill Sans MT"/>
          <w:b/>
          <w:bCs/>
        </w:rPr>
      </w:pPr>
    </w:p>
    <w:p w:rsidR="000469C5" w:rsidRDefault="796D4318" w:rsidP="51A34310">
      <w:pPr>
        <w:rPr>
          <w:rFonts w:ascii="Gill Sans MT" w:hAnsi="Gill Sans MT"/>
          <w:b/>
          <w:bCs/>
        </w:rPr>
      </w:pPr>
      <w:r w:rsidRPr="51A34310">
        <w:rPr>
          <w:rFonts w:ascii="Gill Sans MT" w:hAnsi="Gill Sans MT"/>
          <w:b/>
          <w:bCs/>
        </w:rPr>
        <w:t>Exam Board: OCR</w:t>
      </w:r>
    </w:p>
    <w:p w:rsidR="000469C5" w:rsidRDefault="000469C5" w:rsidP="51A34310">
      <w:pPr>
        <w:rPr>
          <w:rFonts w:ascii="Gill Sans MT" w:hAnsi="Gill Sans MT"/>
          <w:b/>
          <w:bCs/>
        </w:rPr>
      </w:pPr>
    </w:p>
    <w:p w:rsidR="000469C5" w:rsidRDefault="796D4318" w:rsidP="51A34310">
      <w:pPr>
        <w:rPr>
          <w:rFonts w:ascii="Gill Sans MT" w:hAnsi="Gill Sans MT"/>
        </w:rPr>
      </w:pPr>
      <w:r w:rsidRPr="51A34310">
        <w:rPr>
          <w:rFonts w:ascii="Gill Sans MT" w:hAnsi="Gill Sans MT"/>
          <w:b/>
          <w:bCs/>
        </w:rPr>
        <w:t xml:space="preserve">Tiers of entry: </w:t>
      </w:r>
      <w:r w:rsidR="3CB64811" w:rsidRPr="51A34310">
        <w:rPr>
          <w:rFonts w:ascii="Gill Sans MT" w:hAnsi="Gill Sans MT"/>
        </w:rPr>
        <w:t>Candidates sit three papers depending on their tier of entry. The specification is assessed over the three papers with n</w:t>
      </w:r>
      <w:r w:rsidR="438E7549" w:rsidRPr="51A34310">
        <w:rPr>
          <w:rFonts w:ascii="Gill Sans MT" w:hAnsi="Gill Sans MT"/>
        </w:rPr>
        <w:t>o content assigned to a particular paper.</w:t>
      </w:r>
    </w:p>
    <w:p w:rsidR="000469C5" w:rsidRDefault="000469C5" w:rsidP="51A34310">
      <w:pPr>
        <w:rPr>
          <w:rFonts w:ascii="Gill Sans MT" w:hAnsi="Gill Sans MT"/>
          <w:b/>
          <w:bCs/>
        </w:rPr>
      </w:pPr>
    </w:p>
    <w:p w:rsidR="000469C5" w:rsidRDefault="796D4318" w:rsidP="51A34310">
      <w:pPr>
        <w:rPr>
          <w:rFonts w:ascii="Gill Sans MT" w:hAnsi="Gill Sans MT"/>
          <w:b/>
          <w:bCs/>
        </w:rPr>
      </w:pPr>
      <w:r w:rsidRPr="51A34310">
        <w:rPr>
          <w:rFonts w:ascii="Gill Sans MT" w:hAnsi="Gill Sans MT"/>
          <w:b/>
          <w:bCs/>
        </w:rPr>
        <w:t>Foundation (Sets 2a and 2b)</w:t>
      </w:r>
      <w:r w:rsidR="00E951A0">
        <w:rPr>
          <w:rFonts w:ascii="Gill Sans MT" w:hAnsi="Gill Sans MT"/>
          <w:b/>
          <w:bCs/>
        </w:rPr>
        <w:t xml:space="preserve"> G</w:t>
      </w:r>
      <w:r w:rsidR="4047B952" w:rsidRPr="51A34310">
        <w:rPr>
          <w:rFonts w:ascii="Gill Sans MT" w:hAnsi="Gill Sans MT"/>
          <w:b/>
          <w:bCs/>
        </w:rPr>
        <w:t>rades: 1-5</w:t>
      </w:r>
    </w:p>
    <w:p w:rsidR="51A34310" w:rsidRDefault="51A34310" w:rsidP="51A34310">
      <w:pPr>
        <w:rPr>
          <w:rFonts w:ascii="Gill Sans MT" w:hAnsi="Gill Sans MT"/>
          <w:b/>
          <w:bCs/>
        </w:rPr>
      </w:pPr>
    </w:p>
    <w:p w:rsidR="51A34310" w:rsidRDefault="51A3431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85"/>
        <w:gridCol w:w="3485"/>
        <w:gridCol w:w="3485"/>
      </w:tblGrid>
      <w:tr w:rsidR="51A34310" w:rsidTr="51A34310">
        <w:trPr>
          <w:trHeight w:val="300"/>
        </w:trPr>
        <w:tc>
          <w:tcPr>
            <w:tcW w:w="3485" w:type="dxa"/>
            <w:vAlign w:val="center"/>
          </w:tcPr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Paper  1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Calculator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90 minutes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100 marks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485" w:type="dxa"/>
            <w:vAlign w:val="center"/>
          </w:tcPr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Paper  2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Non-calculator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90 minutes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100 marks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485" w:type="dxa"/>
            <w:vAlign w:val="center"/>
          </w:tcPr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Paper  3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Calculator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90 minutes</w:t>
            </w:r>
          </w:p>
          <w:p w:rsidR="702C89DB" w:rsidRDefault="702C89DB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100 marks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</w:tc>
      </w:tr>
    </w:tbl>
    <w:p w:rsidR="51A34310" w:rsidRDefault="51A34310" w:rsidP="51A34310">
      <w:pPr>
        <w:rPr>
          <w:rFonts w:ascii="Gill Sans MT" w:hAnsi="Gill Sans MT"/>
          <w:b/>
          <w:bCs/>
        </w:rPr>
      </w:pPr>
    </w:p>
    <w:p w:rsidR="3EB8D1AF" w:rsidRDefault="3EB8D1AF" w:rsidP="51A34310">
      <w:pPr>
        <w:rPr>
          <w:rFonts w:ascii="Gill Sans MT" w:hAnsi="Gill Sans MT"/>
          <w:b/>
          <w:bCs/>
        </w:rPr>
      </w:pPr>
      <w:r w:rsidRPr="51A34310">
        <w:rPr>
          <w:rFonts w:ascii="Gill Sans MT" w:hAnsi="Gill Sans MT"/>
          <w:b/>
          <w:bCs/>
        </w:rPr>
        <w:t xml:space="preserve">Higher (Sets 1a, 1b and 1c) </w:t>
      </w:r>
      <w:r w:rsidR="00E951A0">
        <w:rPr>
          <w:rFonts w:ascii="Gill Sans MT" w:hAnsi="Gill Sans MT"/>
          <w:b/>
          <w:bCs/>
        </w:rPr>
        <w:t>G</w:t>
      </w:r>
      <w:r w:rsidRPr="51A34310">
        <w:rPr>
          <w:rFonts w:ascii="Gill Sans MT" w:hAnsi="Gill Sans MT"/>
          <w:b/>
          <w:bCs/>
        </w:rPr>
        <w:t>rades: 3-9</w:t>
      </w:r>
    </w:p>
    <w:p w:rsidR="51A34310" w:rsidRDefault="51A34310" w:rsidP="51A34310">
      <w:pPr>
        <w:rPr>
          <w:rFonts w:ascii="Gill Sans MT" w:hAnsi="Gill Sans MT"/>
          <w:b/>
          <w:bCs/>
        </w:rPr>
      </w:pPr>
    </w:p>
    <w:p w:rsidR="3EB8D1AF" w:rsidRDefault="3EB8D1AF" w:rsidP="51A34310">
      <w:r>
        <w:t xml:space="preserve">                    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85"/>
        <w:gridCol w:w="3485"/>
        <w:gridCol w:w="3485"/>
      </w:tblGrid>
      <w:tr w:rsidR="51A34310" w:rsidTr="51A34310">
        <w:trPr>
          <w:trHeight w:val="300"/>
        </w:trPr>
        <w:tc>
          <w:tcPr>
            <w:tcW w:w="3485" w:type="dxa"/>
            <w:vAlign w:val="center"/>
          </w:tcPr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 xml:space="preserve">Paper  </w:t>
            </w:r>
            <w:r w:rsidR="57E0B638" w:rsidRPr="51A34310">
              <w:rPr>
                <w:rFonts w:ascii="Gill Sans MT" w:hAnsi="Gill Sans MT"/>
              </w:rPr>
              <w:t>4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Calculator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90 minutes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100 marks</w:t>
            </w:r>
          </w:p>
        </w:tc>
        <w:tc>
          <w:tcPr>
            <w:tcW w:w="3485" w:type="dxa"/>
            <w:vAlign w:val="center"/>
          </w:tcPr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 xml:space="preserve">Paper  </w:t>
            </w:r>
            <w:r w:rsidR="0B90E134" w:rsidRPr="51A34310">
              <w:rPr>
                <w:rFonts w:ascii="Gill Sans MT" w:hAnsi="Gill Sans MT"/>
              </w:rPr>
              <w:t>5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Non-calculator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90 minutes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100 marks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485" w:type="dxa"/>
            <w:vAlign w:val="center"/>
          </w:tcPr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 xml:space="preserve">Paper  </w:t>
            </w:r>
            <w:r w:rsidR="5B547AC2" w:rsidRPr="51A34310">
              <w:rPr>
                <w:rFonts w:ascii="Gill Sans MT" w:hAnsi="Gill Sans MT"/>
              </w:rPr>
              <w:t>6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Calculator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90 minutes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  <w:r w:rsidRPr="51A34310">
              <w:rPr>
                <w:rFonts w:ascii="Gill Sans MT" w:hAnsi="Gill Sans MT"/>
              </w:rPr>
              <w:t>100 marks</w:t>
            </w:r>
          </w:p>
          <w:p w:rsidR="51A34310" w:rsidRDefault="51A34310" w:rsidP="51A34310">
            <w:pPr>
              <w:jc w:val="center"/>
              <w:rPr>
                <w:rFonts w:ascii="Gill Sans MT" w:hAnsi="Gill Sans MT"/>
              </w:rPr>
            </w:pPr>
          </w:p>
        </w:tc>
      </w:tr>
    </w:tbl>
    <w:p w:rsidR="51A34310" w:rsidRDefault="51A34310" w:rsidP="51A34310">
      <w:pPr>
        <w:rPr>
          <w:rFonts w:ascii="Gill Sans MT" w:hAnsi="Gill Sans MT"/>
        </w:rPr>
      </w:pPr>
    </w:p>
    <w:p w:rsidR="000469C5" w:rsidRPr="000469C5" w:rsidRDefault="000469C5" w:rsidP="001246CF">
      <w:pPr>
        <w:textAlignment w:val="baseline"/>
        <w:rPr>
          <w:rFonts w:asciiTheme="minorHAnsi" w:eastAsia="Times New Roman" w:hAnsiTheme="minorHAnsi" w:cstheme="minorHAnsi"/>
          <w:bCs/>
          <w:lang w:eastAsia="en-GB"/>
        </w:rPr>
      </w:pPr>
      <w:r w:rsidRPr="000469C5">
        <w:rPr>
          <w:rFonts w:asciiTheme="minorHAnsi" w:eastAsia="Times New Roman" w:hAnsiTheme="minorHAnsi" w:cstheme="minorHAnsi"/>
          <w:bCs/>
          <w:lang w:eastAsia="en-GB"/>
        </w:rPr>
        <w:t>Your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 mocks will have the same structure but the papers will have been edited to only contain content that you have been taught.</w:t>
      </w:r>
    </w:p>
    <w:p w:rsidR="000469C5" w:rsidRDefault="000469C5" w:rsidP="001246CF">
      <w:pPr>
        <w:textAlignment w:val="baseline"/>
        <w:rPr>
          <w:rFonts w:asciiTheme="minorHAnsi" w:eastAsia="Times New Roman" w:hAnsiTheme="minorHAnsi" w:cstheme="minorHAnsi"/>
          <w:b/>
          <w:bCs/>
          <w:lang w:eastAsia="en-GB"/>
        </w:rPr>
      </w:pPr>
    </w:p>
    <w:p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lang w:eastAsia="en-GB"/>
        </w:rPr>
        <w:t>Being Organised</w:t>
      </w:r>
      <w:r w:rsidRPr="00AF09F2">
        <w:rPr>
          <w:rFonts w:asciiTheme="minorHAnsi" w:eastAsia="Times New Roman" w:hAnsiTheme="minorHAnsi" w:cstheme="minorHAnsi"/>
          <w:lang w:eastAsia="en-GB"/>
        </w:rPr>
        <w:t> </w:t>
      </w:r>
    </w:p>
    <w:p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:rsidR="000469C5" w:rsidRPr="00FC1CBC" w:rsidRDefault="000469C5" w:rsidP="000469C5">
      <w:pPr>
        <w:rPr>
          <w:rFonts w:ascii="Gill Sans MT" w:hAnsi="Gill Sans MT"/>
          <w:bCs/>
        </w:rPr>
      </w:pPr>
      <w:r w:rsidRPr="00FC1CBC">
        <w:rPr>
          <w:rFonts w:ascii="Gill Sans MT" w:hAnsi="Gill Sans MT"/>
          <w:bCs/>
        </w:rPr>
        <w:t xml:space="preserve">Every </w:t>
      </w:r>
      <w:r w:rsidR="004E1302">
        <w:rPr>
          <w:rFonts w:ascii="Gill Sans MT" w:hAnsi="Gill Sans MT"/>
          <w:bCs/>
        </w:rPr>
        <w:t xml:space="preserve">revision session you will be provided with an exam paper, your teacher will guide you to specific questions to cover specific topics or to look at more general exam technique. </w:t>
      </w:r>
      <w:r w:rsidRPr="00FC1CBC">
        <w:rPr>
          <w:rFonts w:ascii="Gill Sans MT" w:hAnsi="Gill Sans MT"/>
          <w:bCs/>
        </w:rPr>
        <w:t xml:space="preserve"> </w:t>
      </w:r>
      <w:r w:rsidRPr="00FC1CBC">
        <w:rPr>
          <w:rFonts w:ascii="Gill Sans MT" w:hAnsi="Gill Sans MT"/>
          <w:b/>
          <w:bCs/>
          <w:u w:val="single"/>
        </w:rPr>
        <w:t xml:space="preserve">Revision takes place by </w:t>
      </w:r>
      <w:r>
        <w:rPr>
          <w:rFonts w:ascii="Gill Sans MT" w:hAnsi="Gill Sans MT"/>
          <w:b/>
          <w:bCs/>
          <w:u w:val="single"/>
        </w:rPr>
        <w:t>practising what you already know then</w:t>
      </w:r>
      <w:r w:rsidRPr="00FC1CBC">
        <w:rPr>
          <w:rFonts w:ascii="Gill Sans MT" w:hAnsi="Gill Sans MT"/>
          <w:b/>
          <w:bCs/>
          <w:u w:val="single"/>
        </w:rPr>
        <w:t xml:space="preserve"> iden</w:t>
      </w:r>
      <w:r>
        <w:rPr>
          <w:rFonts w:ascii="Gill Sans MT" w:hAnsi="Gill Sans MT"/>
          <w:b/>
          <w:bCs/>
          <w:u w:val="single"/>
        </w:rPr>
        <w:t xml:space="preserve">tifying what you find difficult. </w:t>
      </w:r>
      <w:proofErr w:type="spellStart"/>
      <w:r w:rsidR="004E1302">
        <w:rPr>
          <w:rFonts w:ascii="Gill Sans MT" w:hAnsi="Gill Sans MT"/>
          <w:b/>
          <w:bCs/>
          <w:u w:val="single"/>
        </w:rPr>
        <w:t>Sparx</w:t>
      </w:r>
      <w:proofErr w:type="spellEnd"/>
      <w:r w:rsidRPr="00FC1CBC">
        <w:rPr>
          <w:rFonts w:ascii="Gill Sans MT" w:hAnsi="Gill Sans MT"/>
          <w:b/>
          <w:bCs/>
          <w:u w:val="single"/>
        </w:rPr>
        <w:t xml:space="preserve"> Maths</w:t>
      </w:r>
      <w:r>
        <w:rPr>
          <w:rFonts w:ascii="Gill Sans MT" w:hAnsi="Gill Sans MT"/>
          <w:b/>
          <w:bCs/>
          <w:u w:val="single"/>
        </w:rPr>
        <w:t xml:space="preserve"> can then be used</w:t>
      </w:r>
      <w:r w:rsidRPr="00FC1CBC">
        <w:rPr>
          <w:rFonts w:ascii="Gill Sans MT" w:hAnsi="Gill Sans MT"/>
          <w:b/>
          <w:bCs/>
          <w:u w:val="single"/>
        </w:rPr>
        <w:t xml:space="preserve"> to improve your understanding.</w:t>
      </w:r>
      <w:r>
        <w:rPr>
          <w:rFonts w:ascii="Gill Sans MT" w:hAnsi="Gill Sans MT"/>
          <w:bCs/>
        </w:rPr>
        <w:t xml:space="preserve"> Your teachers will tell </w:t>
      </w:r>
      <w:r w:rsidRPr="00FC1CBC">
        <w:rPr>
          <w:rFonts w:ascii="Gill Sans MT" w:hAnsi="Gill Sans MT"/>
          <w:bCs/>
        </w:rPr>
        <w:t>you which questions that you should definitely answer and which you will find more difficult</w:t>
      </w:r>
      <w:r w:rsidR="004E1302">
        <w:rPr>
          <w:rFonts w:ascii="Gill Sans MT" w:hAnsi="Gill Sans MT"/>
          <w:bCs/>
        </w:rPr>
        <w:t xml:space="preserve">. </w:t>
      </w:r>
      <w:r>
        <w:rPr>
          <w:rFonts w:ascii="Gill Sans MT" w:hAnsi="Gill Sans MT"/>
          <w:bCs/>
        </w:rPr>
        <w:t>As we approach the summer, you should revisit old papers, attempting the questions that you could not do or had left out because those topics had yet to be covered.</w:t>
      </w:r>
    </w:p>
    <w:p w:rsidR="00E951A0" w:rsidRPr="00E951A0" w:rsidRDefault="000469C5" w:rsidP="000469C5">
      <w:pPr>
        <w:rPr>
          <w:rFonts w:ascii="Gill Sans MT" w:hAnsi="Gill Sans MT"/>
          <w:b/>
          <w:bCs/>
        </w:rPr>
      </w:pPr>
      <w:r w:rsidRPr="00E951A0">
        <w:rPr>
          <w:rFonts w:ascii="Gill Sans MT" w:hAnsi="Gill Sans MT"/>
          <w:b/>
          <w:bCs/>
        </w:rPr>
        <w:t xml:space="preserve">   </w:t>
      </w:r>
    </w:p>
    <w:p w:rsidR="000469C5" w:rsidRDefault="00E951A0" w:rsidP="000469C5">
      <w:pPr>
        <w:rPr>
          <w:rFonts w:ascii="Gill Sans MT" w:hAnsi="Gill Sans MT"/>
          <w:b/>
          <w:bCs/>
        </w:rPr>
      </w:pPr>
      <w:r w:rsidRPr="00E951A0">
        <w:rPr>
          <w:rFonts w:ascii="Gill Sans MT" w:hAnsi="Gill Sans MT"/>
          <w:b/>
          <w:bCs/>
        </w:rPr>
        <w:t>Specification</w:t>
      </w:r>
      <w:r w:rsidR="000469C5" w:rsidRPr="00E951A0">
        <w:rPr>
          <w:rFonts w:ascii="Gill Sans MT" w:hAnsi="Gill Sans MT"/>
          <w:b/>
          <w:bCs/>
        </w:rPr>
        <w:tab/>
      </w:r>
      <w:hyperlink r:id="rId8" w:history="1">
        <w:r w:rsidRPr="00E951A0">
          <w:rPr>
            <w:rStyle w:val="Hyperlink"/>
            <w:rFonts w:ascii="Gill Sans MT" w:hAnsi="Gill Sans MT"/>
            <w:b/>
            <w:bCs/>
          </w:rPr>
          <w:t>https://www.ocr.org.uk/qualifications/gcse/mathematics-j560-from-2015/</w:t>
        </w:r>
      </w:hyperlink>
    </w:p>
    <w:p w:rsidR="00E951A0" w:rsidRDefault="00E951A0" w:rsidP="000469C5">
      <w:pPr>
        <w:rPr>
          <w:rFonts w:ascii="Gill Sans MT" w:hAnsi="Gill Sans MT"/>
          <w:b/>
          <w:bCs/>
        </w:rPr>
      </w:pPr>
    </w:p>
    <w:p w:rsidR="00E951A0" w:rsidRPr="00E951A0" w:rsidRDefault="00E951A0" w:rsidP="000469C5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Past Papers </w:t>
      </w:r>
      <w:hyperlink r:id="rId9" w:history="1">
        <w:r w:rsidRPr="00E951A0">
          <w:rPr>
            <w:rStyle w:val="Hyperlink"/>
            <w:rFonts w:ascii="Gill Sans MT" w:hAnsi="Gill Sans MT"/>
            <w:b/>
            <w:bCs/>
          </w:rPr>
          <w:t>https://www.ocr.org.uk/qualifications/gcse/mathematics-j560-from-2015/assessment/</w:t>
        </w:r>
      </w:hyperlink>
    </w:p>
    <w:p w:rsidR="000469C5" w:rsidRDefault="000469C5" w:rsidP="000469C5">
      <w:pPr>
        <w:rPr>
          <w:rFonts w:ascii="Gill Sans MT" w:hAnsi="Gill Sans MT"/>
          <w:b/>
          <w:bCs/>
        </w:rPr>
      </w:pPr>
    </w:p>
    <w:p w:rsidR="006F19F6" w:rsidRPr="000469C5" w:rsidRDefault="006F19F6" w:rsidP="000469C5">
      <w:pPr>
        <w:rPr>
          <w:rStyle w:val="normaltextrun"/>
          <w:rFonts w:ascii="Gill Sans MT" w:hAnsi="Gill Sans MT"/>
          <w:b/>
          <w:bCs/>
          <w:color w:val="FF0000"/>
        </w:rPr>
      </w:pPr>
      <w:r w:rsidRPr="51A34310">
        <w:rPr>
          <w:rStyle w:val="normaltextrun"/>
          <w:rFonts w:asciiTheme="minorHAnsi" w:hAnsiTheme="minorHAnsi" w:cstheme="minorBidi"/>
          <w:b/>
          <w:bCs/>
        </w:rPr>
        <w:t>Independent Revision</w:t>
      </w:r>
    </w:p>
    <w:p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6F19F6" w:rsidRPr="00AF09F2" w:rsidRDefault="000469C5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The best way to revise maths is to do maths</w:t>
      </w:r>
      <w:r w:rsidR="00B24D9F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="00B24D9F">
        <w:rPr>
          <w:rStyle w:val="normaltextrun"/>
          <w:rFonts w:asciiTheme="minorHAnsi" w:hAnsiTheme="minorHAnsi" w:cstheme="minorHAnsi"/>
          <w:bCs/>
          <w:sz w:val="22"/>
          <w:szCs w:val="22"/>
        </w:rPr>
        <w:t>Sparx</w:t>
      </w:r>
      <w:proofErr w:type="spellEnd"/>
      <w:r w:rsidR="00B24D9F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has an independent practice session where you can focus on one specific topic. The XP boost and target sections </w:t>
      </w:r>
      <w:r w:rsidR="004E1302">
        <w:rPr>
          <w:rStyle w:val="normaltextrun"/>
          <w:rFonts w:asciiTheme="minorHAnsi" w:hAnsiTheme="minorHAnsi" w:cstheme="minorHAnsi"/>
          <w:bCs/>
          <w:sz w:val="22"/>
          <w:szCs w:val="22"/>
        </w:rPr>
        <w:t>have</w:t>
      </w:r>
      <w:r w:rsidR="00B24D9F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mixed </w:t>
      </w:r>
      <w:r w:rsidR="004E130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extra </w:t>
      </w:r>
      <w:r w:rsidR="00B24D9F">
        <w:rPr>
          <w:rStyle w:val="normaltextrun"/>
          <w:rFonts w:asciiTheme="minorHAnsi" w:hAnsiTheme="minorHAnsi" w:cstheme="minorHAnsi"/>
          <w:bCs/>
          <w:sz w:val="22"/>
          <w:szCs w:val="22"/>
        </w:rPr>
        <w:t>practice</w:t>
      </w:r>
      <w:r w:rsidR="004E1302">
        <w:rPr>
          <w:rStyle w:val="normaltextrun"/>
          <w:rFonts w:asciiTheme="minorHAnsi" w:hAnsiTheme="minorHAnsi" w:cstheme="minorHAnsi"/>
          <w:bCs/>
          <w:sz w:val="22"/>
          <w:szCs w:val="22"/>
        </w:rPr>
        <w:t>.</w:t>
      </w:r>
      <w:r w:rsidR="00E34CC8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</w:p>
    <w:sectPr w:rsidR="006F19F6" w:rsidRPr="00AF09F2" w:rsidSect="007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6"/>
    <w:rsid w:val="000242EA"/>
    <w:rsid w:val="000469C5"/>
    <w:rsid w:val="0006728E"/>
    <w:rsid w:val="00077781"/>
    <w:rsid w:val="000D76DD"/>
    <w:rsid w:val="001246CF"/>
    <w:rsid w:val="00171E08"/>
    <w:rsid w:val="00187C86"/>
    <w:rsid w:val="001C3AF5"/>
    <w:rsid w:val="00213764"/>
    <w:rsid w:val="002161D9"/>
    <w:rsid w:val="00244AC9"/>
    <w:rsid w:val="002716FB"/>
    <w:rsid w:val="00290398"/>
    <w:rsid w:val="0029515F"/>
    <w:rsid w:val="002A0A1B"/>
    <w:rsid w:val="002B5A91"/>
    <w:rsid w:val="002C0A16"/>
    <w:rsid w:val="002D6DE5"/>
    <w:rsid w:val="002F597D"/>
    <w:rsid w:val="00332833"/>
    <w:rsid w:val="00366ABB"/>
    <w:rsid w:val="0036780A"/>
    <w:rsid w:val="00372CCB"/>
    <w:rsid w:val="00386FC9"/>
    <w:rsid w:val="003B5EF6"/>
    <w:rsid w:val="003D640D"/>
    <w:rsid w:val="003F72D2"/>
    <w:rsid w:val="00422F13"/>
    <w:rsid w:val="00433342"/>
    <w:rsid w:val="0043468F"/>
    <w:rsid w:val="00456833"/>
    <w:rsid w:val="004639F7"/>
    <w:rsid w:val="004659F5"/>
    <w:rsid w:val="00467BE9"/>
    <w:rsid w:val="004916E2"/>
    <w:rsid w:val="00493AAC"/>
    <w:rsid w:val="004A2FA7"/>
    <w:rsid w:val="004A64AB"/>
    <w:rsid w:val="004B0592"/>
    <w:rsid w:val="004D7B87"/>
    <w:rsid w:val="004E1302"/>
    <w:rsid w:val="00502524"/>
    <w:rsid w:val="00502882"/>
    <w:rsid w:val="005368C3"/>
    <w:rsid w:val="00545995"/>
    <w:rsid w:val="00551EBC"/>
    <w:rsid w:val="0058241C"/>
    <w:rsid w:val="005B04FE"/>
    <w:rsid w:val="005F1DC2"/>
    <w:rsid w:val="0062642A"/>
    <w:rsid w:val="006534A6"/>
    <w:rsid w:val="00657A8A"/>
    <w:rsid w:val="00676B1E"/>
    <w:rsid w:val="006F19F6"/>
    <w:rsid w:val="00700FE4"/>
    <w:rsid w:val="00702D76"/>
    <w:rsid w:val="00704BB5"/>
    <w:rsid w:val="00712F7E"/>
    <w:rsid w:val="007324E9"/>
    <w:rsid w:val="0075260C"/>
    <w:rsid w:val="007662E7"/>
    <w:rsid w:val="007879BA"/>
    <w:rsid w:val="007C3A74"/>
    <w:rsid w:val="007C5C27"/>
    <w:rsid w:val="00857FA1"/>
    <w:rsid w:val="008816BC"/>
    <w:rsid w:val="008B76A4"/>
    <w:rsid w:val="008F3D0F"/>
    <w:rsid w:val="00900872"/>
    <w:rsid w:val="00916C68"/>
    <w:rsid w:val="00951556"/>
    <w:rsid w:val="00951CFD"/>
    <w:rsid w:val="00953C62"/>
    <w:rsid w:val="009630B4"/>
    <w:rsid w:val="00974806"/>
    <w:rsid w:val="00980B0C"/>
    <w:rsid w:val="00993637"/>
    <w:rsid w:val="009E462C"/>
    <w:rsid w:val="00A35399"/>
    <w:rsid w:val="00A6509D"/>
    <w:rsid w:val="00A91B2A"/>
    <w:rsid w:val="00AB5CB0"/>
    <w:rsid w:val="00AF09F2"/>
    <w:rsid w:val="00B24D9F"/>
    <w:rsid w:val="00B50FDF"/>
    <w:rsid w:val="00B91C5C"/>
    <w:rsid w:val="00B964BF"/>
    <w:rsid w:val="00BA0BB4"/>
    <w:rsid w:val="00BD2A47"/>
    <w:rsid w:val="00BD2DEB"/>
    <w:rsid w:val="00BD7EF4"/>
    <w:rsid w:val="00C22D16"/>
    <w:rsid w:val="00C57536"/>
    <w:rsid w:val="00C85498"/>
    <w:rsid w:val="00C91142"/>
    <w:rsid w:val="00CB1ACC"/>
    <w:rsid w:val="00CB701B"/>
    <w:rsid w:val="00CE1BFA"/>
    <w:rsid w:val="00CF5908"/>
    <w:rsid w:val="00D51B7C"/>
    <w:rsid w:val="00D63405"/>
    <w:rsid w:val="00D6622E"/>
    <w:rsid w:val="00D7109C"/>
    <w:rsid w:val="00D735B5"/>
    <w:rsid w:val="00DA2090"/>
    <w:rsid w:val="00E11B24"/>
    <w:rsid w:val="00E13FD1"/>
    <w:rsid w:val="00E26E76"/>
    <w:rsid w:val="00E34CC8"/>
    <w:rsid w:val="00E60271"/>
    <w:rsid w:val="00E66F13"/>
    <w:rsid w:val="00E755D3"/>
    <w:rsid w:val="00E762EF"/>
    <w:rsid w:val="00E951A0"/>
    <w:rsid w:val="00EA1A00"/>
    <w:rsid w:val="00EA2479"/>
    <w:rsid w:val="00EC15DB"/>
    <w:rsid w:val="00ED3B28"/>
    <w:rsid w:val="00F33424"/>
    <w:rsid w:val="00F337E8"/>
    <w:rsid w:val="00F4021E"/>
    <w:rsid w:val="00F76C17"/>
    <w:rsid w:val="00F84D92"/>
    <w:rsid w:val="00F870A0"/>
    <w:rsid w:val="00FA2F59"/>
    <w:rsid w:val="00FB4E0F"/>
    <w:rsid w:val="00FF5620"/>
    <w:rsid w:val="02A4B79C"/>
    <w:rsid w:val="02F56E99"/>
    <w:rsid w:val="04D6A4FB"/>
    <w:rsid w:val="08ABE7FA"/>
    <w:rsid w:val="08CB9D7E"/>
    <w:rsid w:val="0901A870"/>
    <w:rsid w:val="09540A24"/>
    <w:rsid w:val="09D5E365"/>
    <w:rsid w:val="0B90E134"/>
    <w:rsid w:val="0BB3D493"/>
    <w:rsid w:val="0E2F8DD4"/>
    <w:rsid w:val="0E396A63"/>
    <w:rsid w:val="0F44DF8D"/>
    <w:rsid w:val="105F9D1E"/>
    <w:rsid w:val="146726FA"/>
    <w:rsid w:val="1A8FD3F7"/>
    <w:rsid w:val="1BDDCFEB"/>
    <w:rsid w:val="1EAC5F85"/>
    <w:rsid w:val="1EFEF1A9"/>
    <w:rsid w:val="208E7690"/>
    <w:rsid w:val="20D74BBB"/>
    <w:rsid w:val="220DB15A"/>
    <w:rsid w:val="247154BF"/>
    <w:rsid w:val="24F26928"/>
    <w:rsid w:val="262D85A3"/>
    <w:rsid w:val="26C64991"/>
    <w:rsid w:val="28271DA9"/>
    <w:rsid w:val="29004EAE"/>
    <w:rsid w:val="29FD5D07"/>
    <w:rsid w:val="2A15E512"/>
    <w:rsid w:val="2E026599"/>
    <w:rsid w:val="2EFAFDED"/>
    <w:rsid w:val="2FFC366C"/>
    <w:rsid w:val="306A5B4E"/>
    <w:rsid w:val="30A49E13"/>
    <w:rsid w:val="30A93921"/>
    <w:rsid w:val="31ADBE77"/>
    <w:rsid w:val="3BE0C7AF"/>
    <w:rsid w:val="3CB64811"/>
    <w:rsid w:val="3DF84702"/>
    <w:rsid w:val="3EB8D1AF"/>
    <w:rsid w:val="3FB890CD"/>
    <w:rsid w:val="3FD596BB"/>
    <w:rsid w:val="4047B952"/>
    <w:rsid w:val="414F86B8"/>
    <w:rsid w:val="428E8977"/>
    <w:rsid w:val="438E7549"/>
    <w:rsid w:val="44C71AF6"/>
    <w:rsid w:val="4721605A"/>
    <w:rsid w:val="47A93AF5"/>
    <w:rsid w:val="4B918610"/>
    <w:rsid w:val="4D198B79"/>
    <w:rsid w:val="4D837FBD"/>
    <w:rsid w:val="4F276B14"/>
    <w:rsid w:val="513E357E"/>
    <w:rsid w:val="51A34310"/>
    <w:rsid w:val="51D4856B"/>
    <w:rsid w:val="551F801E"/>
    <w:rsid w:val="57E0B638"/>
    <w:rsid w:val="57E383A8"/>
    <w:rsid w:val="59DEE624"/>
    <w:rsid w:val="59F16A33"/>
    <w:rsid w:val="5B46EA23"/>
    <w:rsid w:val="5B547AC2"/>
    <w:rsid w:val="5CA585D1"/>
    <w:rsid w:val="5DE03D0C"/>
    <w:rsid w:val="663FF44B"/>
    <w:rsid w:val="677D0AAA"/>
    <w:rsid w:val="6A1756A8"/>
    <w:rsid w:val="6D527C32"/>
    <w:rsid w:val="6F649CB9"/>
    <w:rsid w:val="6F76C7A0"/>
    <w:rsid w:val="702C89DB"/>
    <w:rsid w:val="7107DEAE"/>
    <w:rsid w:val="72A00016"/>
    <w:rsid w:val="73059763"/>
    <w:rsid w:val="773D2677"/>
    <w:rsid w:val="78619790"/>
    <w:rsid w:val="788E7C5F"/>
    <w:rsid w:val="796D4318"/>
    <w:rsid w:val="7A8A8F9C"/>
    <w:rsid w:val="7C654AE8"/>
    <w:rsid w:val="7C7C0EEA"/>
    <w:rsid w:val="7C84FCB9"/>
    <w:rsid w:val="7D92C6D6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BD13F-ACE7-44A2-943C-C060BC80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46CF"/>
  </w:style>
  <w:style w:type="character" w:customStyle="1" w:styleId="eop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r.org.uk/qualifications/gcse/mathematics-j560-from-201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cr.org.uk/qualifications/gcse/mathematics-j560-from-2015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  <ds:schemaRef ds:uri="2c59171b-88eb-4f0d-94a1-f6f3f96326b6"/>
    <ds:schemaRef ds:uri="e6a517f9-0e25-499c-a806-5a94d2e9861d"/>
  </ds:schemaRefs>
</ds:datastoreItem>
</file>

<file path=customXml/itemProps2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9C5B4-664C-40B5-9B17-F4EC33C27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517f9-0e25-499c-a806-5a94d2e9861d"/>
    <ds:schemaRef ds:uri="3ce172c4-1eb5-4aea-8c69-60f6201bfd66"/>
    <ds:schemaRef ds:uri="2c59171b-88eb-4f0d-94a1-f6f3f9632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Leonard's Catholic School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David Simmons</cp:lastModifiedBy>
  <cp:revision>2</cp:revision>
  <cp:lastPrinted>2020-01-22T13:56:00Z</cp:lastPrinted>
  <dcterms:created xsi:type="dcterms:W3CDTF">2024-09-09T20:36:00Z</dcterms:created>
  <dcterms:modified xsi:type="dcterms:W3CDTF">2024-09-09T20:36:00Z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